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7E13" w:rsidRPr="00337E13" w:rsidRDefault="00337E13" w:rsidP="00337E13">
      <w:pPr>
        <w:widowControl/>
        <w:spacing w:after="225"/>
        <w:ind w:firstLineChars="0" w:firstLine="540"/>
        <w:jc w:val="center"/>
        <w:rPr>
          <w:rFonts w:ascii="Helvetica" w:eastAsia="宋体" w:hAnsi="Helvetica" w:cs="Helvetica"/>
          <w:color w:val="404040"/>
          <w:kern w:val="0"/>
          <w:sz w:val="27"/>
          <w:szCs w:val="27"/>
        </w:rPr>
      </w:pPr>
      <w:r w:rsidRPr="00337E13">
        <w:rPr>
          <w:rFonts w:ascii="Helvetica" w:eastAsia="宋体" w:hAnsi="Helvetica" w:cs="Helvetica"/>
          <w:b/>
          <w:bCs/>
          <w:color w:val="000080"/>
          <w:kern w:val="0"/>
          <w:sz w:val="27"/>
        </w:rPr>
        <w:t>中华人民共和国证券法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楷体" w:eastAsia="楷体" w:hAnsi="楷体" w:cs="Helvetica"/>
          <w:color w:val="404040"/>
          <w:kern w:val="0"/>
          <w:sz w:val="27"/>
          <w:szCs w:val="27"/>
        </w:rPr>
        <w:t>（1998年12月29日第九届全国人民代表大会常务委员会第六次会议通过　根据2004年8月28日第十届全国人民代表大会常务委员会第十一次会议《关于修改〈中华人民共和国证券法〉的决定》第一次修正　2005年10月27日第十届全国人民代表大会常务委员会第十八次会议第一次修订　根据2013年6月29日第十二届全国人民代表大会常务委员会第三次会议《关于修改〈中华人民共和国文物保护法〉等十二部法律的决定》第二次修正　根据2014年8月31日第十二届全国人民代表大会常务委员会第十次会议《关于修改〈中华人民共和国保险法〉等五部法律的决定》第三次修正　2019年12月28日第十三届全国人民代表大会常务委员会第十五次会议第二次修订）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目录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第一章　总则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第二章　证券发行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第三章　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第一节　一般规定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第二节　证券上市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第三节　禁止的交易行为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第四章　上市公司的收购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第五章　信息披露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第六章　投资者保护</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第七章　证券交易场所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第八章　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第九章　证券登记结算机构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第十章　证券服务机构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第十一章　证券业协会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第十二章　证券监督管理机构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第十三章　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第十四章　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第一章　总则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第一条　为了规范证券发行和交易行为，保护投资者的合法权益，维护社会经济秩序和社会公共利益，促进社会主义市场经济的发展，制定本法。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第二条　在中华人民共和国境内，股票、公司债券、存托凭证和国务院依法认定的其他证券的发行和交易，适用本法；本法未规定的，适用《中华人民共和国公司法》和其他法律、行政法规的规定。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政府债券、证券投资基金份额的上市交易，适用本法；其他法律、行政法规另有规定的，适用其规定。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资产支持证券、资产管理产品发行、交易的管理办法，由国务院依照本法的原则规定。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在中华人民共和国境外的证券发行和交易活动，扰乱中华人民共和国境内市场秩序，损害境内投资者合法权益的，依照本法有关规定处理并追究法律责任。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第三条　证券的发行、交易活动，必须遵循公开、公平、公正的原则。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第四条　证券发行、交易活动的当事人具有平等的法律地位，应当遵守自愿、有偿、诚实信用的原则。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第五条　证券的发行、交易活动，必须遵守法律、行政法规；禁止欺诈、内幕交易和操纵证券市场的行为。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第六条　证券业和银行业、信托业、保险业实行分业经营、分业管理，证券公司与银行、信托、保险业务机构分别设立。国家另有规定的除外。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第七条　国务院证券监督管理机构依法对全国证券市场实行集中统一监督管理。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国务院证券监督管理机构根据需要可以设立派出机构，按照授权履行监督管理职责。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第八条　国家审计机关依法对证券交易场所、证券公司、证券登记结算机构、证券监督管理机构进行审计监督。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第二章　证券发行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第九条　公开发行证券，必须符合法律、行政法规规定的条件，并依法报经国务院证券监督管理机构或者国务院授权的部门注册。未经依法注册，任何单位和个人不得公开发行证券。证券发行注册制的具体范围、实施步骤，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有下列情形之一的，为公开发行：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（一）向不特定对象发行证券；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（二）向特定对象发行证券累计超过二百人，但依法实施员工持股计划的员工人数不计算在内；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（三）法律、行政法规规定的其他发行行为。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非公开发行证券，不得采用广告、公开劝诱和变相公开方式。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第十条　发行人申请公开发行股票、可转换为股票的公司债券，依法采取承销方式的，或者公开发行法律、行政法规规定实行保荐制度的其他证券的，应当聘请证券公司担任保荐人。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保荐人应当遵守业务规则和行业规范，诚实守信，勤勉尽责，对发行人的申请文件和信息披露资料进行审慎核查，督导发行人规范运作。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保荐人的管理办法由国务院证券监督管理机构规定。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第十一条　设立股份有限公司公开发行股票，应当符合《中华人民共和国公司法》规定的条件和经国务院批准的国务院证券监督管理机构规定的其他条件，向国务院证券监督管理机构报送募股申请和下列文件：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（二）发起人协议；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（三）发起人姓名或者名称，发起人认购的股份数、出资种类及验资证明；</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（四）招股说明书；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（五）代收股款银行的名称及地址；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（六）承销机构名称及有关的协议。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依照本法规定聘请保荐人的，还应当报送保荐人出具的发行保荐书。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法律、行政法规规定设立公司必须报经批准的，还应当提交相应的批准文件。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第十二条　公司首次公开发行新股，应当符合下列条件：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（一）具备健全且运行良好的组织机构；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（二）具有持续经营能力；</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（三）最近三年财务会计报告被出具无保留意见审计报告；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（四）发行人及其控股股东、实际控制人最近三年不存在贪污、贿赂、侵占财产、挪用财产或者破坏社会主义市场经济秩序的刑事犯罪；</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（五）经国务院批准的国务院证券监督管理机构规定的其他条件。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上市公司发行新股，应当符合经国务院批准的国务院证券监督管理机构规定的条件，具体管理办法由国务院证券监督管理机构规定。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公开发行存托凭证的，应当符合首次公开发行新股的条件以及国务院证券监督管理机构规定的其他条件。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第十三条　公司公开发行新股，应当报送募股申请和下列文件：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（一）公司营业执照；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（三）股东大会决议；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（四）招股说明书或者其他公开发行募集文件；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（五）财务会计报告；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（六）代收股款银行的名称及地址。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依照本法规定聘请保荐人的，还应当报送保荐人出具的发行保荐书。依照本法规定实行承销的，还应当报送承销机构名称及有关的协议。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第十四条　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第十五条　公开发行公司债券，应当符合下列条件：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（一）具备健全且运行良好的组织机构；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（二）最近三年平均可分配利润足以支付公司债券一年的利息；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（三）国务院规定的其他条件。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公开发行公司债券筹集的资金，必须按照公司债券募集办法所列资金用途使用；改变资金用途，必须经债券持有人会议作出决议。公开发行公司债券筹集的资金，不得用于弥补亏损和非生产性支出。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第十六条　申请公开发行公司债券，应当向国务院授权的部门或者国务院证券监督管理机构报送下列文件：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（一）公司营业执照；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（三）公司债券募集办法；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（四）国务院授权的部门或者国务院证券监督管理机构规定的其他文件。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依照本法规定聘请保荐人的，还应当报送保荐人出具的发行保荐书。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第十七条　有下列情形之一的，不得再次公开发行公司债券：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（一）对已公开发行的公司债券或者其他债务有违约或者延迟支付本息的事实，仍处于继续状态；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（二）违反本法规定，改变公开发行公司债券所募资金的用途。</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第十八条　发行人依法申请公开发行证券所报送的申请文件的格式、报送方式，由依法负责注册的机构或者部门规定。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第十九条　发行人报送的证券发行申请文件，应当充分披露投资者作出价值判断和投资决策所必需的信息，内容应当真实、准确、完整。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为证券发行出具有关文件的证券服务机构和人员，必须严格履行法定职责，保证所出具文件的真实性、准确性和完整性。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第二十条　发行人申请首次公开发行股票的，在提交申请文件后，应当按照国务院证券监督管理机构的规定预先披露有关申请文件。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第二十一条　国务院证券监督管理机构或者国务院授权的部门依照法定条件负责证券发行申请的注册。证券公开发行注册的具体办法由国务院规定。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按照国务院的规定，证券交易所等可以审核公开发行证券申请，判断发行人是否符合发行条件、信息披露要求，督促发行人完善信息披露内容。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依照前两款规定参与证券发行申请注册的人员，不得与发行申请人有利害关系，不得直接或者间接接受发行申请人的馈赠，不得持有所注册的发行申请的证券，不得私下与发行申请人进行接触。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第二十二条　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第二十三条　证券发行申请经注册后，发行人应当依照法律、行政法规的规定，在证券公开发行前公告公开发行募集文件，并将该文件置备于指定场所供公众查阅。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发行证券的信息依法公开前，任何知情人不得公开或者泄露该信息。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发行人不得在公告公开发行募集文件前发行证券。　　</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第二十四条　国务院证券监督管理机构或者国务院授权的部门对已作出的证券发行注册的决定，发现不符合法定条件或者法定程序，尚</w:t>
      </w:r>
      <w:r w:rsidRPr="00337E13">
        <w:rPr>
          <w:rFonts w:ascii="Helvetica" w:eastAsia="宋体" w:hAnsi="Helvetica" w:cs="Helvetica"/>
          <w:color w:val="404040"/>
          <w:kern w:val="0"/>
          <w:sz w:val="27"/>
          <w:szCs w:val="27"/>
        </w:rPr>
        <w:lastRenderedPageBreak/>
        <w:t>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第二十五条　股票依法发行后，发行人经营与收益的变化，由发行人自行负责；由此变化引致的投资风险，由投资者自行负责。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第二十六条　发行人向不特定对象发行的证券，法律、行政法规规定应当由证券公司承销的，发行人应当同证券公司签订承销协议。证券承销业务采取代销或者包销方式。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证券代销是指证券公司代发行人发售证券，在承销期结束时，将未售出的证券全部退还给发行人的承销方式。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证券包销是指证券公司将发行人的证券按照协议全部购入或者在承销期结束时将售后剩余证券全部自行购入的承销方式。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第二十七条　公开发行证券的发行人有权依法自主选择承销的证券公司。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第二十八条　证券公司承销证券，应当同发行人签订代销或者包销协议，载明下列事项：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（一）当事人的名称、住所及法定代表人姓名；</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（二）代销、包销证券的种类、数量、金额及发行价格；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（三）代销、包销的期限及起止日期；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（四）代销、包销的付款方式及日期；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（五）代销、包销的费用和结算办法；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（六）违约责任；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（七）国务院证券监督管理机构规定的其他事项。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第二十九条　证券公司承销证券，应当对公开发行募集文件的真实性、准确性、完整性进行核查。发现有虚假记载、误导性陈述或者重大遗漏的，不得进行销售活动；已经销售的，必须立即停止销售活动，并采取纠正措施。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证券公司承销证券，不得有下列行为：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（一）进行虚假的或者误导投资者的广告宣传或者其他宣传推介活动；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（二）以不正当竞争手段招揽承销业务；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（三）其他违反证券承销业务规定的行为。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证券公司有前款所列行为，给其他证券承销机构或者投资者造成损失的，应当依法承担赔偿责任。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第三十条　向不特定对象发行证券聘请承销团承销的，承销团应当由主承销和参与承销的证券公司组成。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第三十一条　证券的代销、包销期限最长不得超过九十日。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证券公司在代销、包销期内，对所代销、包销的证券应当保证先行出售给认购人，证券公司不得为本公司预留所代销的证券和预先购入并留存所包销的证券。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第三十二条　股票发行采取溢价发行的，其发行价格由发行人与承销的证券公司协商确定。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第三十三条　股票发行采用代销方式，代销期限届满，向投资者出售的股票数量未达到拟公开发行股票数量百分之七十的，为发行失败。发行人应当按照发行价并加算银行同期存款利息返还股票认购人。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第三十四条　公开发行股票，代销、包销期限届满，发行人应当在规定的期限内将股票发行情况报国务院证券监督管理机构备案。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 xml:space="preserve">　第三章　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第一节　一般规定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第三十五条　证券交易当事人依法买卖的证券，必须是依法发行并交付的证券。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非依法发行的证券，不得买卖。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第三十六条　依法发行的证券，《中华人民共和国公司法》和其他法律对其转让期限有限制性规定的，在限定的期限内不得转让。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第三十七条　公开发行的证券，应当在依法设立的证券交易所上市交易或者在国务院批准的其他全国性证券交易场所交易。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非公开发行的证券，可以在证券交易所、国务院批准的其他全国性证券交易场所、按照国务院规定设立的区域性股权市场转让。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第三十八条　证券在证券交易所上市交易，应当采用公开的集中交易方式或者国务院证券监督管理机构批准的其他方式。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第三十九条　证券交易当事人买卖的证券可以采用纸面形式或者国务院证券监督管理机构规定的其他形式。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第四十条　证券交易场所、证券公司和证券登记结算机构的从业人员，证券监督管理机构的工作人员以及法律、行政法规规定禁止参与股票交易的其他人员，在任期或者法定限期内，不得直接或者以化名、借</w:t>
      </w:r>
      <w:r w:rsidRPr="00337E13">
        <w:rPr>
          <w:rFonts w:ascii="Helvetica" w:eastAsia="宋体" w:hAnsi="Helvetica" w:cs="Helvetica"/>
          <w:color w:val="404040"/>
          <w:kern w:val="0"/>
          <w:sz w:val="27"/>
          <w:szCs w:val="27"/>
        </w:rPr>
        <w:lastRenderedPageBreak/>
        <w:t>他人名义持有、买卖股票或者其他具有股权性质的证券，也不得收受他人赠送的股票或者其他具有股权性质的证券。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任何人在成为前款所列人员时，其原已持有的股票或者其他具有股权性质的证券，必须依法转让。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实施股权激励计划或者员工持股计划的证券公司的从业人员，可以按照国务院证券监督管理机构的规定持有、卖出本公司股票或者其他具有股权性质的证券。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第四十一条　证券交易场所、证券公司、证券登记结算机构、证券服务机构及其工作人员应当依法为投资者的信息保密，不得非法买卖、提供或者公开投资者的信息。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证券交易场所、证券公司、证券登记结算机构、证券服务机构及其工作人员不得泄露所知悉的商业秘密。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第四十二条　为证券发行出具审计报告或者法律意见书等文件的证券服务机构和人员，在该证券承销期内和期满后六个月内，不得买卖该证券。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除前款规定外，为发行人及其控股股东、实际控制人，或者收购人、重大资产交易方出具审计报告或者法律意见书等文件的证券服务机构和人员，自接受委托之日起至上述文件公开后五日内，不得买卖该证券。实际开展上述有关工作之日早于接受委托之日的，自实际开展上述有关工作之日起至上述文件公开后五日内，不得买卖该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第四十三条　证券交易的收费必须合理，并公开收费项目、收费标准和管理办法。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第四十四条　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前款所称董事、监事、高级管理人员、自然人股东持有的股票或者其他具有股权性质的证券，包括其配偶、父母、子女持有的及利用他人账户持有的股票或者其他具有股权性质的证券。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公司董事会不按照第一款规定执行的，股东有权要求董事会在三十日内执行。公司董事会未在上述期限内执行的，股东有权为了公司的利益以自己的名义直接向人民法院提起诉讼。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公司董事会不按照第一款的规定执行的，负有责任的董事依法承担连带责任。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第四十五条　通过计算机程序自动生成或者下达交易指令进行程序化交易的，应当符合国务院证券监督管理机构的规定，并向证券交易所报告，不得影响证券交易所系统安全或者正常交易秩序。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第二节　证券上市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第四十六条　申请证券上市交易，应当向证券交易所提出申请，由证券交易所依法审核同意，并由双方签订上市协议。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证券交易所根据国务院授权的部门的决定安排政府债券上市交易。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第四十七条　申请证券上市交易，应当符合证券交易所上市规则规定的上市条件。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证券交易所上市规则规定的上市条件，应当对发行人的经营年限、财务状况、最低公开发行比例和公司治理、诚信记录等提出要求。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第四十八条　上市交易的证券，有证券交易所规定的终止上市情形的，由证券交易所按照业务规则终止其上市交易。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证券交易所决定终止证券上市交易的，应当及时公告，并报国务院证券监督管理机构备案。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第四十九条　对证券交易所作出的不予上市交易、终止上市交易决定不服的，可以向证券交易所设立的复核机构申请复核。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第三节　禁止的交易行为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第五十条　禁止证券交易内幕信息的知情人和非法获取内幕信息的人利用内幕信息从事证券交易活动。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第五十一条　证券交易内幕信息的知情人包括：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（一）发行人及其董事、监事、高级管理人员；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（二）持有公司百分之五以上股份的股东及其董事、监事、高级管理人员，公司的实际控制人及其董事、监事、高级管理人员；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（三）发行人控股或者实际控制的公司及其董事、监事、高级管理人员；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（四）由于所任公司职务或者因与公司业务往来可以获取公司有关内幕信息的人员；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（五）上市公司收购人或者重大资产交易方及其控股股东、实际控制人、董事、监事和高级管理人员；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（六）因职务、工作可以获取内幕信息的证券交易场所、证券公司、证券登记结算机构、证券服务机构的有关人员；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（七）因职责、工作可以获取内幕信息的证券监督管理机构工作人员；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（八）因法定职责对证券的发行、交易或者对上市公司及其收购、重大资产交易进行管理可以获取内幕信息的有关主管部门、监管机构的工作人员；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（九）国务院证券监督管理机构规定的可以获取内幕信息的其他人员。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第五十二条　证券交易活动中，涉及发行人的经营、财务或者对该发行人证券的市场价格有重大影响的尚未公开的信息，为内幕信息。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本法第八十条第二款、第八十一条第二款所列重大事件属于内幕信息。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第五十三条　证券交易内幕信息的知情人和非法获取内幕信息的人，在内幕信息公开前，不得买卖该公司的证券，或者泄露该信息，或者建议他人买卖该证券。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持有或者通过协议、其他安排与他人共同持有公司百分之五以上股份的自然人、法人、非法人组织收购上市公司的股份，本法另有规定的，适用其规定。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内幕交易行为给投资者造成损失的，应当依法承担赔偿责任。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第五十四条　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利用未公开信息进行交易给投资者造成损失的，应当依法承担赔偿责任。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第五十五条　禁止任何人以下列手段操纵证券市场，影响或者意图影响证券交易价格或者证券交易量：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（一）单独或者通过合谋，集中资金优势、持股优势或者利用信息优势联合或者连续买卖；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（二）与他人串通，以事先约定的时间、价格和方式相互进行证券交易；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（三）在自己实际控制的账户之间进行证券交易；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（四）不以成交为目的，频繁或者大量申报并撤销申报；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（五）利用虚假或者不确定的重大信息，诱导投资者进行证券交易；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（六）对证券、发行人公开作出评价、预测或者投资建议，并进行反向证券交易；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（七）利用在其他相关市场的活动操纵证券市场；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（八）操纵证券市场的其他手段。</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操纵证券市场行为给投资者造成损失的，应当依法承担赔偿责任。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第五十六条　禁止任何单位和个人编造、传播虚假信息或者误导性信息，扰乱证券市场。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禁止证券交易场所、证券公司、证券登记结算机构、证券服务机构及其从业人员，证券业协会、证券监督管理机构及其工作人员，在证券交易活动中作出虚假陈述或者信息误导。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各种传播媒介传播证券市场信息必须真实、客观，禁止误导。传播媒介及其从事证券市场信息报道的工作人员不得从事与其工作职责发生利益冲突的证券买卖。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编造、传播虚假信息或者误导性信息，扰乱证券市场，给投资者造成损失的，应当依法承担赔偿责任。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第五十七条　禁止证券公司及其从业人员从事下列损害客户利益的行为：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（一）违背客户的委托为其买卖证券；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（二）不在规定时间内向客户提供交易的确认文件；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（三）未经客户的委托，擅自为客户买卖证券，或者假借客户的名义买卖证券；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（四）为牟取佣金收入，诱使客户进行不必要的证券买卖；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（五）其他违背客户真实意思表示，损害客户利益的行为。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违反前款规定给客户造成损失的，应当依法承担赔偿责任。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第五十八条　任何单位和个人不得违反规定，出借自己的证券账户或者借用他人的证券账户从事证券交易。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第五十九条　依法拓宽资金入市渠道，禁止资金违规流入股市。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禁止投资者违规利用财政资金、银行信贷资金买卖证券。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第六十条　国有独资企业、国有独资公司、国有资本控股公司买卖上市交易的股票，必须遵守国家有关规定。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第六十一条　证券交易场所、证券公司、证券登记结算机构、证券服务机构及其从业人员对证券交易中发现的禁止的交易行为，应当及时向证券监督管理机构报告。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第四章　上市公司的收购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第六十二条　投资者可以采取要约收购、协议收购及其他合法方式收购上市公司。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第六十三条　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投资者持有或者通过协议、其他安排与他人共同持有一个上市公司已发行的有表决权股份达到百分之五后，其所持该上市公司已发行的有表决权股份比例每增加或者减少百分之一，应当在该事实发生的次日通知该上市公司，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违反第一款、第二款规定买入上市公司有表决权的股份的，在买入后的三十六个月内，对该超过规定比例部分的股份不得行使表决权。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第六十四条　依照前条规定所作的公告，应当包括下列内容：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（一）持股人的名称、住所；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（二）持有的股票的名称、数额；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（三）持股达到法定比例或者持股增减变化达到法定比例的日期、增持股份的资金来源；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（四）在上市公司中拥有有表决权的股份变动的时间及方式。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第六十五条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收购上市公司部分股份的要约应当约定，被收购公司股东承诺出售的股份数额超过预定收购的股份数额的，收购人按比例进行收购。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第六十六条　依照前条规定发出收购要约，收购人必须公告上市公司收购报告书，并载明下列事项：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（一）收购人的名称、住所；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（二）收购人关于收购的决定；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（三）被收购的上市公司名称；</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（四）收购目的；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（五）收购股份的详细名称和预定收购的股份数额；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（六）收购期限、收购价格；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（七）收购所需资金额及资金保证；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（八）公告上市公司收购报告书时持有被收购公司股份数占该公司已发行的股份总数的比例。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第六十七条　收购要约约定的收购期限不得少于三十日，并不得超过六十日。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第六十八条　在收购要约确定的承诺期限内，收购人不得撤销其收购要约。收购人需要变更收购要约的，应当及时公告，载明具体变更事项，且不得存在下列情形：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（一）降低收购价格；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（二）减少预定收购股份数额；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（三）缩短收购期限；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（四）国务院证券监督管理机构规定的其他情形。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第六十九条　收购要约提出的各项收购条件，适用于被收购公司的所有股东。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上市公司发行不同种类股份的，收购人可以针对不同种类股份提出不同的收购条件。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第七十条　采取要约收购方式的，收购人在收购期限内，不得卖出被收购公司的股票，也不得采取要约规定以外的形式和超出要约的条件买入被收购公司的股票。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第七十一条　采取协议收购方式的，收购人可以依照法律、行政法规的规定同被收购公司的股东以协议方式进行股份转让。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以协议方式收购上市公司时，达成协议后，收购人必须在三日内将该收购协议向国务院证券监督管理机构及证券交易所作出书面报告，并予公告。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在公告前不得履行收购协议。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第七十二条　采取协议收购方式的，协议双方可以临时委托证券登记结算机构保管协议转让的股票，并将资金存放于指定的银行。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第七十三条　采取协议收购方式的，收购人收购或者通过协议、其他安排与他人共同收购一个上市公司已发行的有表决权股份达到百分</w:t>
      </w:r>
      <w:r w:rsidRPr="00337E13">
        <w:rPr>
          <w:rFonts w:ascii="Helvetica" w:eastAsia="宋体" w:hAnsi="Helvetica" w:cs="Helvetica"/>
          <w:color w:val="404040"/>
          <w:kern w:val="0"/>
          <w:sz w:val="27"/>
          <w:szCs w:val="27"/>
        </w:rPr>
        <w:lastRenderedPageBreak/>
        <w:t>之三十时，继续进行收购的，应当依法向该上市公司所有股东发出收购上市公司全部或者部分股份的要约。但是，按照国务院证券监督管理机构的规定免除发出要约的除外。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收购人依照前款规定以要约方式收购上市公司股份，应当遵守本法第六十五条第二款、第六十六条至第七十条的规定。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第七十四条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收购行为完成后，被收购公司不再具备股份有限公司条件的，应当依法变更企业形式。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第七十五条　在上市公司收购中，收购人持有的被收购的上市公司的股票，在收购行为完成后的十八个月内不得转让。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第七十六条　收购行为完成后，收购人与被收购公司合并，并将该公司解散的，被解散公司的原有股票由收购人依法更换。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收购行为完成后，收购人应当在十五日内将收购情况报告国务院证券监督管理机构和证券交易所，并予公告。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第七十七条　国务院证券监督管理机构依照本法制定上市公司收购的具体办法。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lastRenderedPageBreak/>
        <w:t xml:space="preserve">　　上市公司分立或者被其他公司合并，应当向国务院证券监督管理机构报告，并予公告。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第五章　信息披露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第七十八条　发行人及法律、行政法规和国务院证券监督管理机构规定的其他信息披露义务人，应当及时依法履行信息披露义务。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信息披露义务人披露的信息，应当真实、准确、完整，简明清晰，通俗易懂，不得有虚假记载、误导性陈述或者重大遗漏。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证券同时在境内境外公开发行、交易的，其信息披露义务人在境外披露的信息，应当在境内同时披露。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第七十九条　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（一）在每一会计年度结束之日起四个月内，报送并公告年度报告，其中的年度财务会计报告应当经符合本法规定的会计师事务所审计；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（二）在每一会计年度的上半年结束之日起二个月内，报送并公告中期报告。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第八十条　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前款所称重大事件包括：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（一）公司的经营方针和经营范围的重大变化；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（二）公司的重大投资行为，公司在一年内购买、出售重大资产超过公司资产总额百分之三十，或者公司营业用主要资产的抵押、质押、出售或者报废一次超过该资产的百分之三十；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（三）公司订立重要合同、提供重大担保或者从事关联交易，可能对公司的资产、负债、权益和经营成果产生重要影响；</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（四）公司发生重大债务和未能清偿到期重大债务的违约情况；</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（五）公司发生重大亏损或者重大损失；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（六）公司生产经营的外部条件发生的重大变化；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（七）公司的董事、三分之一以上监事或者经理发生变动，董事长或者经理无法履行职责；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（八）持有公司百分之五以上股份的股东或者实际控制人持有股份或者控制公司的情况发生较大变化，公司的实际控制人及其控制的其他企业从事与公司相同或者相似业务的情况发生较大变化；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（九）公司分配股利、增资的计划，公司股权结构的重要变化，公司减资、合并、分立、解散及申请破产的决定，或者依法进入破产程序、被责令关闭；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（十）涉及公司的重大诉讼、仲裁，股东大会、董事会决议被依法撤销或者宣告无效；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（十一）公司涉嫌犯罪被依法立案调查，公司的控股股东、实际控制人、董事、监事、高级管理人员涉嫌犯罪被依法采取强制措施；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（十二）国务院证券监督管理机构规定的其他事项。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公司的控股股东或者实际控制人对重大事件的发生、进展产生较大影响的，应当及时将其知悉的有关情况书面告知公司，并配合公司履行信息披露义务。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第八十一条　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前款所称重大事件包括：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（一）公司股权结构或者生产经营状况发生重大变化；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（二）公司债券信用评级发生变化；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（三）公司重大资产抵押、质押、出售、转让、报废；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（四）公司发生未能清偿到期债务的情况；</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（五）公司新增借款或者对外提供担保超过上年末净资产的百分之二十；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（六）公司放弃债权或者财产超过上年末净资产的百分之十；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（七）公司发生超过上年末净资产百分之十的重大损失；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（八）公司分配股利，作出减资、合并、分立、解散及申请破产的决定，或者依法进入破产程序、被责令关闭；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（九）涉及公司的重大诉讼、仲裁；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（十）公司涉嫌犯罪被依法立案调查，公司的控股股东、实际控制人、董事、监事、高级管理人员涉嫌犯罪被依法采取强制措施；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（十一）国务院证券监督管理机构规定的其他事项。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第八十二条　发行人的董事、高级管理人员应当对证券发行文件和定期报告签署书面确认意见。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发行人的监事会应当对董事会编制的证券发行文件和定期报告进行审核并提出书面审核意见。监事应当签署书面确认意见。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发行人的董事、监事和高级管理人员应当保证发行人及时、公平地披露信息，所披露的信息真实、准确、完整。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第八十三条　信息披露义务人披露的信息应当同时向所有投资者披露，不得提前向任何单位和个人泄露。但是，法律、行政法规另有规定的除外。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任何单位和个人不得非法要求信息披露义务人提供依法需要披露但尚未披露的信息。任何单位和个人提前获知的前述信息，在依法披露前应当保密。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第八十四条　除依法需要披露的信息之外，信息披露义务人可以自愿披露与投资者作出价值判断和投资决策有关的信息，但不得与依法披露的信息相冲突，不得误导投资者。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发行人及其控股股东、实际控制人、董事、监事、高级管理人员等作出公开承诺的，应当披露。不履行承诺给投资者造成损失的，应当依法承担赔偿责任。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第八十五条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第八十六条　依法披露的信息，应当在证券交易场所的网站和符合国务院证券监督管理机构规定条件的媒体发布，同时将其置备于公司住所、证券交易场所，供社会公众查阅。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第八十七条　国务院证券监督管理机构对信息披露义务人的信息披露行为进行监督管理。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证券交易场所应当对其组织交易的证券的信息披露义务人的信息披露行为进行监督，督促其依法及时、准确地披露信息。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第六章　投资者保护</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第八十八条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投资者在购买证券或者接受服务时，应当按照证券公司明示的要求提供前款所列真实信息。拒绝提供或者未按照要求提供信息的，证券公司应当告知其后果，并按照规定拒绝向其销售证券、提供服务。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证券公司违反第一款规定导致投资者损失的，应当承担相应的赔偿责任。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第八十九条　根据财产状况、金融资产状况、投资知识和经验、专业能力等因素，投资者可以分为普通投资者和专业投资者。专业投资者的标准由国务院证券监督管理机构规定。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普通投资者与证券公司发生纠纷的，证券公司应当证明其行为符合法律、行政法规以及国务院证券监督管理机构的规定，不存在误导、欺诈等情形。证券公司不能证明的，应当承担相应的赔偿责任。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第九十条　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依照前款规定征集股东权利的，征集人应当披露征集文件，上市公司应当予以配合。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禁止以有偿或者变相有偿的方式公开征集股东权利。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公开征集股东权利违反法律、行政法规或者国务院证券监督管理机构有关规定，导致上市公司或者其股东遭受损失的，应当依法承担赔偿责任。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第九十一条　上市公司应当在章程中明确分配现金股利的具体安排和决策程序，依法保障股东的资产收益权。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上市公司当年税后利润，在弥补亏损及提取法定公积金后有盈余的，应当按照公司章程的规定分配现金股利。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第九十二条　公开发行公司债券的，应当设立债券持有人会议，并应当在募集说明书中说明债券持有人会议的召集程序、会议规则和其他重要事项。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债券发行人未能按期兑付债券本息的，债券受托管理人可以接受全部或者部分债券持有人的委托，以自己名义代表债券持有人提起、参加民事诉讼或者清算程序。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第九十三条　发行人因欺诈发行、虚假陈述或者其他重大违法行为给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第九十四条　投资者与发行人、证券公司等发生纠纷的，双方可以向投资者保护机构申请调解。普通投资者与证券公司发生证券业务纠纷，普通投资者提出调解请求的，证券公司不得拒绝。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投资者保护机构对损害投资者利益的行为，可以依法支持投资者向人民法院提起诉讼。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第九十五条　投资者提起虚假陈述等证券民事赔偿诉讼时，诉讼标的是同一种类，且当事人一方人数众多的，可以依法推选代表人进行诉讼。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投资者保护机构受五十名以上投资者委托，可以作为代表人参加诉讼，并为经证券登记结算机构确认的权利人依照前款规定向人民法院登记，但投资者明确表示不愿意参加该诉讼的除外。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第七章　证券交易场所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第九十六条　证券交易所、国务院批准的其他全国性证券交易场所为证券集中交易提供场所和设施，组织和监督证券交易，实行自律管理，依法登记，取得法人资格。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证券交易所、国务院批准的其他全国性证券交易场所的设立、变更和解散由国务院决定。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国务院批准的其他全国性证券交易场所的组织机构、管理办法等，由国务院规定。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第九十七条　证券交易所、国务院批准的其他全国性证券交易场所可以根据证券品种、行业特点、公司规模等因素设立不同的市场层次。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第九十八条　按照国务院规定设立的区域性股权市场为非公开发行证券的发行、转让提供场所和设施，具体管理办法由国务院规定。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第九十九条　证券交易所履行自律管理职能，应当遵守社会公共利益优先原则，维护市场的公平、有序、透明。</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设立证券交易所必须制定章程。证券交易所章程的制定和修改，必须经国务院证券监督管理机构批准。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第一百条　证券交易所必须在其名称中标明证券交易所字样。其他任何单位或者个人不得使用证券交易所或者近似的名称。</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第一百零一条　证券交易所可以自行支配的各项费用收入，应当首先用于保证其证券交易场所和设施的正常运行并逐步改善。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实行会员制的证券交易所的财产积累归会员所有，其权益由会员共同享有，在其存续期间，不得将其财产积累分配给会员。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第一百零二条　实行会员制的证券交易所设理事会、监事会。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证券交易所设总经理一人，由国务院证券监督管理机构任免。</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第一百零三条　有《中华人民共和国公司法》第一百四十六条规定的情形或者下列情形之一的，不得担任证券交易所的负责人：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（一）因违法行为或者违纪行为被解除职务的证券交易场所、证券登记结算机构的负责人或者证券公司的董事、监事、高级管理人员，自被解除职务之日起未逾五年；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（二）因违法行为或者违纪行为被吊销执业证书或者被取消资格的律师、注册会计师或者其他证券服务机构的专业人员，自被吊销执业证书或者被取消资格之日起未逾五年。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第一百零四条　因违法行为或者违纪行为被开除的证券交易场所、证券公司、证券登记结算机构、证券服务机构的从业人员和被开除的国家机关工作人员，不得招聘为证券交易所的从业人员。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第一百零五条　进入实行会员制的证券交易所参与集中交易的，必须是证券交易所的会员。证券交易所不得允许非会员直接参与股票的集中交易。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第一百零六条　投资者应当与证券公司签订证券交易委托协议，并在证券公司实名开立账户，以书面、电话、自助终端、网络等方式，委托该证券公司代其买卖证券。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第一百零七条　证券公司为投资者开立账户，应当按照规定对投资者提供的身份信息进行核对。</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证券公司不得将投资者的账户提供给他人使用。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投资者应当使用实名开立的账户进行交易。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第一百零八条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第一百零九条　证券交易所应当为组织公平的集中交易提供保障，实时公布证券交易即时行情，并按交易日制作证券市场行情表，予以公布。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证券交易即时行情的权益由证券交易所依法享有。未经证券交易所许可，任何单位和个人不得发布证券交易即时行情。</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第一百一十条　上市公司可以向证券交易所申请其上市交易股票的停牌或者复牌，但不得滥用停牌或者复牌损害投资者的合法权益。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证券交易所可以按照业务规则的规定，决定上市交易股票的停牌或者复牌。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第一百一十一条　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因前款规定的突发性事件导致证券交易结果出现重大异常，按交易结果进行交收将对证券交易正常秩序和市场公平造成重大影响的，证券交易所按照业务规则可以采取取消交易、通知证券登记结算机构暂缓交收等措施，并应当及时向国务院证券监督管理机构报告并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证券交易所对其依照本条规定采取措施造成的损失，不承担民事赔偿责任，但存在重大过错的除外。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第一百一十二条　证券交易所对证券交易实行实时监控，并按照国务院证券监督管理机构的要求，对异常的交易情况提出报告。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证券交易所根据需要，可以按照业务规则对出现重大异常交易情况的证券账户的投资者限制交易，并及时报告国务院证券监督管理机构。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第一百一十三条　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证券交易所对其依照本条规定采取措施造成的损失，不承担民事赔偿责任，但存在重大过错的除外。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第一百一十四条　证券交易所应当从其收取的交易费用和会员费、席位费中提取一定比例的金额设立风险基金。风险基金由证券交易所理事会管理。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风险基金提取的具体比例和使用办法，由国务院证券监督管理机构会同国务院财政部门规定。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证券交易所应当将收存的风险基金存入开户银行专门账户，不得擅自使用。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第一百一十五条　证券交易所依照法律、行政法规和国务院证券监督管理机构的规定，制定上市规则、交易规则、会员管理规则和其他有关业务规则，并报国务院证券监督管理机构批准。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在证券交易所从事证券交易，应当遵守证券交易所依法制定的业务规则。违反业务规则的，由证券交易所给予纪律处分或者采取其他自律管理措施。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第一百一十六条　证券交易所的负责人和其他从业人员执行与证券交易有关的职务时，与其本人或者其亲属有利害关系的，应当回避。</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第一百一十七条　按照依法制定的交易规则进行的交易，不得改变其交易结果，但本法第一百一十一条第二款规定的除外。对交易中违规交易者应负的民事责任不得免除；在违规交易中所获利益，依照有关规定处理。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第八章　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第一百一十八条　设立证券公司，应当具备下列条件，并经国务院证券监督管理机构批准：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（一）有符合法律、行政法规规定的公司章程；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（二）主要股东及公司的实际控制人具有良好的财务状况和诚信记录，最近三年无重大违法违规记录；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（三）有符合本法规定的公司注册资本；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（四）董事、监事、高级管理人员、从业人员符合本法规定的条件；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（五）有完善的风险管理与内部控制制度；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（六）有合格的经营场所、业务设施和信息技术系统；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（七）法律、行政法规和经国务院批准的国务院证券监督管理机构规定的其他条件。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未经国务院证券监督管理机构批准，任何单位和个人不得以证券公司名义开展证券业务活动。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第一百一十九条　国务院证券监督管理机构应当自受理证券公司设立申请之日起六个月内，依照法定条件和法定程序并根据审慎监管原则进行审查，作出批准或者不予批准的决定，并通知申请人；不予批准的，应当说明理由。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证券公司设立申请获得批准的，申请人应当在规定的期限内向公司登记机关申请设立登记，领取营业执照。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证券公司应当自领取营业执照之日起十五日内，向国务院证券监督管理机构申请经营证券业务许可证。未取得经营证券业务许可证，证券公司不得经营证券业务。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第一百二十条　经国务院证券监督管理机构核准，取得经营证券业务许可证，证券公司可以经营下列部分或者全部证券业务：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（一）证券经纪；</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（二）证券投资咨询；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（三）与证券交易、证券投资活动有关的财务顾问；</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（四）证券承销与保荐；</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（五）证券融资融券；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（六）证券做市交易；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（七）证券自营；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（八）其他证券业务。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国务院证券监督管理机构应当自受理前款规定事项申请之日起三个月内，依照法定条件和程序进行审查，作出核准或者不予核准的决定，并通知申请人；不予核准的，应当说明理由。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证券公司经营证券资产管理业务的，应当符合《中华人民共和国证券投资基金法》等法律、行政法规的规定。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除证券公司外，任何单位和个人不得从事证券承销、证券保荐、证券经纪和证券融资融券业务。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证券公司从事证券融资融券业务，应当采取措施，严格防范和控制风险，不得违反规定向客户出借资金或者证券。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第一百二十一条　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国务院证券监督管理机构根据审慎监管原则和各项业务的风险程度，可以调整注册资本最低限额，但不得少于前款规定的限额。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第一百二十二条　证券公司变更证券业务范围，变更主要股东或者公司的实际控制人，合并、分立、停业、解散、破产，应当经国务院证券监督管理机构核准。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第一百二十三条　国务院证券监督管理机构应当对证券公司净资本和其他风险控制指标作出规定。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证券公司除依照规定为其客户提供融资融券外，不得为其股东或者股东的关联人提供融资或者担保。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第一百二十四条　证券公司的董事、监事、高级管理人员，应当正直诚实、品行良好，熟悉证券法律、行政法规，具有履行职责所需的经营管理能力。证券公司任免董事、监事、高级管理人员，应当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有《中华人民共和国公司法》第一百四十六条规定的情形或者下列情形之一的，不得担任证券公司的董事、监事、高级管理人员：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（一）因违法行为或者违纪行为被解除职务的证券交易场所、证券登记结算机构的负责人或者证券公司的董事、监事、高级管理人员，自被解除职务之日起未逾五年；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（二）因违法行为或者违纪行为被吊销执业证书或者被取消资格的律师、注册会计师或者其他证券服务机构的专业人员，自被吊销执业证书或者被取消资格之日起未逾五年。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第一百二十五条　证券公司从事证券业务的人员应当品行良好，具备从事证券业务所需的专业能力。</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因违法行为或者违纪行为被开除的证券交易场所、证券公司、证券登记结算机构、证券服务机构的从业人员和被开除的国家机关工作人员，不得招聘为证券公司的从业人员。</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国家机关工作人员和法律、行政法规规定的禁止在公司中兼职的其他人员，不得在证券公司中兼任职务。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第一百二十六条　国家设立证券投资者保护基金。证券投资者保护基金由证券公司缴纳的资金及其他依法筹集的资金组成，其规模以及筹集、管理和使用的具体办法由国务院规定。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第一百二十七条　证券公司从每年的业务收入中提取交易风险准备金，用于弥补证券经营的损失，其提取的具体比例由国务院证券监督管理机构会同国务院财政部门规定。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第一百二十八条　证券公司应当建立健全内部控制制度，采取有效隔离措施，防范公司与客户之间、不同客户之间的利益冲突。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证券公司必须将其证券经纪业务、证券承销业务、证券自营业务、证券做市业务和证券资产管理业务分开办理，不得混合操作。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第一百二十九条　证券公司的自营业务必须以自己的名义进行，不得假借他人名义或者以个人名义进行。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证券公司的自营业务必须使用自有资金和依法筹集的资金。</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证券公司不得将其自营账户借给他人使用。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第一百三十条　证券公司应当依法审慎经营，勤勉尽责，诚实守信。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证券公司的业务活动，应当与其治理结构、内部控制、合规管理、风险管理以及风险控制指标、从业人员构成等情况相适应，符合审慎监管和保护投资者合法权益的要求。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证券公司依法享有自主经营的权利，其合法经营不受干涉。</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第一百三十一条　证券公司客户的交易结算资金应当存放在商业银行，以每个客户的名义单独立户管理。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将客户的交易结算资金和证券归入其自有财产。禁止任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第一百三十二条　证券公司办理经纪业务，应当置备统一制定的证券买卖委托书，供委托人使用。采取其他委托方式的，必须作出委托记录。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客户的证券买卖委托，不论是否成交，其委托记录应当按照规定的期限，保存于证券公司。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第一百三十三条　证券公司接受证券买卖的委托，应当根据委托书载明的证券名称、买卖数量、出价方式、价格幅度等，按照交易规则代理买卖证券，如实进行交易记录；买卖成交后，应当按照规定制作买卖成交报告单交付客户。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证券交易中确认交易行为及其交易结果的对账单必须真实，保证账面证券余额与实际持有的证券相一致。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第一百三十四条　证券公司办理经纪业务，不得接受客户的全权委托而决定证券买卖、选择证券种类、决定买卖数量或者买卖价格。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证券公司不得允许他人以证券公司的名义直接参与证券的集中交易。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第一百三十五条　证券公司不得对客户证券买卖的收益或者赔偿证券买卖的损失作出承诺。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第一百三十六条　证券公司的从业人员在证券交易活动中，执行所属的证券公司的指令或者利用职务违反交易规则的，由所属的证券公司承担全部责任。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证券公司的从业人员不得私下接受客户委托买卖证券。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第一百三十七条　证券公司应当建立客户信息查询制度，确保客户能够查询其账户信息、委托记录、交易记录以及其他与接受服务或者购买产品有关的重要信息。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证券公司应当妥善保存客户开户资料、委托记录、交易记录和与内部管理、业务经营有关的各项信息，任何人不得隐匿、伪造、篡改或者毁损。上述信息的保存期限不得少于二十年。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第一百三十八条　证券公司应当按照规定向国务院证券监督管理机构报送业务、财务等经营管理信息和资料。国务院证券监督管理机构有权要求证券公司及其主要股东、实际控制人在指定的期限内提供有关信息、资料。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证券公司及其主要股东、实际控制人向国务院证券监督管理机构报送或者提供的信息、资料，必须真实、准确、完整。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第一百三十九条　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第一百四十条　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（一）限制业务活动，责令暂停部分业务，停止核准新业务；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（二）限制分配红利，限制向董事、监事、高级管理人员支付报酬、提供福利；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（三）限制转让财产或者在财产上设定其他权利；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（四）责令更换董事、监事、高级管理人员或者限制其权利；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（五）撤销有关业务许可；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（六）认定负有责任的董事、监事、高级管理人员为不适当人选；</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（七）责令负有责任的股东转让股权，限制负有责任的股东行使股东权利。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第一百四十一条　证券公司的股东有虚假出资、抽逃出资行为的，国务院证券监督管理机构应当责令其限期改正，并可责令其转让所持证券公司的股权。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在前款规定的股东按照要求改正违法行为、转让所持证券公司的股权前，国务院证券监督管理机构可以限制其股东权利。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第一百四十二条　证券公司的董事、监事、高级管理人员未能勤勉尽责，致使证券公司存在重大违法违规行为或者重大风险的，国务院证券监督管理机构可以责令证券公司予以更换。</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第一百四十三条　证券公司违法经营或者出现重大风险，严重危害证券市场秩序、损害投资者利益的，国务院证券监督管理机构可以对该证券公司采取责令停业整顿、指定其他机构托管、接管或者撤销等监管措施。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第一百四十四条　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（一）通知出境入境管理机关依法阻止其出境；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（二）申请司法机关禁止其转移、转让或者以其他方式处分财产，或者在财产上设定其他权利。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第九章　证券登记结算机构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第一百四十五条　证券登记结算机构为证券交易提供集中登记、存管与结算服务，不以营利为目的，依法登记，取得法人资格。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设立证券登记结算机构必须经国务院证券监督管理机构批准。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第一百四十六条　设立证券登记结算机构，应当具备下列条件：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（一）自有资金不少于人民币二亿元；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（二）具有证券登记、存管和结算服务所必须的场所和设施；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（三）国务院证券监督管理机构规定的其他条件。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证券登记结算机构的名称中应当标明证券登记结算字样。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第一百四十七条　证券登记结算机构履行下列职能：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（一）证券账户、结算账户的设立；</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（二）证券的存管和过户；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（三）证券持有人名册登记；</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（四）证券交易的清算和交收；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（五）受发行人的委托派发证券权益；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（六）办理与上述业务有关的查询、信息服务；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（七）国务院证券监督管理机构批准的其他业务。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第一百四十八条　在证券交易所和国务院批准的其他全国性证券交易场所交易的证券的登记结算，应当采取全国集中统一的运营方式。</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前款规定以外的证券，其登记、结算可以委托证券登记结算机构或者其他依法从事证券登记、结算业务的机构办理。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第一百四十九条　证券登记结算机构应当依法制定章程和业务规则，并经国务院证券监督管理机构批准。证券登记结算业务参与人应当遵守证券登记结算机构制定的业务规则。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第一百五十条　在证券交易所或者国务院批准的其他全国性证券交易场所交易的证券，应当全部存管在证券登记结算机构。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证券登记结算机构不得挪用客户的证券。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第一百五十一条　证券登记结算机构应当向证券发行人提供证券持有人名册及有关资料。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证券登记结算机构应当根据证券登记结算的结果，确认证券持有人持有证券的事实，提供证券持有人登记资料。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证券登记结算机构应当保证证券持有人名册和登记过户记录真实、准确、完整，不得隐匿、伪造、篡改或者毁损。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第一百五十二条　证券登记结算机构应当采取下列措施保证业务的正常进行：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（一）具有必备的服务设备和完善的数据安全保护措施；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（二）建立完善的业务、财务和安全防范等管理制度；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（三）建立完善的风险管理系统。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第一百五十三条　证券登记结算机构应当妥善保存登记、存管和结算的原始凭证及有关文件和资料。其保存期限不得少于二十年。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第一百五十四条　证券登记结算机构应当设立证券结算风险基金，用于垫付或者弥补因违约交收、技术故障、操作失误、不可抗力造成的证券登记结算机构的损失。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证券结算风险基金从证券登记结算机构的业务收入和收益中提取，并可以由结算参与人按照证券交易业务量的一定比例缴纳。</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证券结算风险基金的筹集、管理办法，由国务院证券监督管理机构会同国务院财政部门规定。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第一百五十五条　证券结算风险基金应当存入指定银行的专门账户，实行专项管理。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证券登记结算机构以证券结算风险基金赔偿后，应当向有关责任人追偿。</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第一百五十六条　证券登记结算机构申请解散，应当经国务院证券监督管理机构批准。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第一百五十七条　投资者委托证券公司进行证券交易，应当通过证券公司申请在证券登记结算机构开立证券账户。证券登记结算机构应当按照规定为投资者开立证券账户。</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投资者申请开立账户，应当持有证明中华人民共和国公民、法人、合伙企业身份的合法证件。国家另有规定的除外。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第一百五十八条　证券登记结算机构作为中央对手方提供证券结算服务的，是结算参与人共同的清算交收对手，进行净额结算，为证券交易提供集中履约保障。</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证券登记结算机构为证券交易提供净额结算服务时，应当要求结算参与人按照货银对付的原则，足额交付证券和资金，并提供交收担保。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在交收完成之前，任何人不得动用用于交收的证券、资金和担保物。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结算参与人未按时履行交收义务的，证券登记结算机构有权按照业务规则处理前款所述财产。</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第一百五十九条　证券登记结算机构按照业务规则收取的各类结算资金和证券，必须存放于专门的清算交收账户，只能按业务规则用于已成交的证券交易的清算交收，不得被强制执行。</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第十章　证券服务机构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第一百六十条　会计师事务所、律师事务所以及从事证券投资咨询、资产评估、资信评级、财务顾问、信息技术系统服务的证券服务机构，应当勤勉尽责、恪尽职守，按照相关业务规则为证券的交易及相关活动提供服务。</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从事证券投资咨询服务业务，应当经国务院证券监督管理机构核准；未经核准，不得为证券的交易及相关活动提供服务。从事其他证券服务业务，应当报国务院证券监督管理机构和国务院有关主管部门备案。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第一百六十一条　证券投资咨询机构及其从业人员从事证券服务业务不得有下列行为：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（一）代理委托人从事证券投资；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（二）与委托人约定分享证券投资收益或者分担证券投资损失；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（三）买卖本证券投资咨询机构提供服务的证券；</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（四）法律、行政法规禁止的其他行为。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有前款所列行为之一，给投资者造成损失的，应当依法承担赔偿责任。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第一百六十二条　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第一百六十三条　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第十一章　证券业协会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第一百六十四条　证券业协会是证券业的自律性组织，是社会团体法人。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证券公司应当加入证券业协会。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证券业协会的权力机构为全体会员组成的会员大会。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第一百六十五条　证券业协会章程由会员大会制定，并报国务院证券监督管理机构备案。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第一百六十六条　证券业协会履行下列职责：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（一）教育和组织会员及其从业人员遵守证券法律、行政法规，组织开展证券行业诚信建设，督促证券行业履行社会责任；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（二）依法维护会员的合法权益，向证券监督管理机构反映会员的建议和要求；</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（三）督促会员开展投资者教育和保护活动，维护投资者合法权益；</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（四）制定和实施证券行业自律规则，监督、检查会员及其从业人员行为，对违反法律、行政法规、自律规则或者协会章程的，按照规定给予纪律处分或者实施其他自律管理措施；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（五）制定证券行业业务规范，组织从业人员的业务培训；</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（六）组织会员就证券行业的发展、运作及有关内容进行研究，收集整理、发布证券相关信息，提供会员服务，组织行业交流，引导行业创新发展；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（七）对会员之间、会员与客户之间发生的证券业务纠纷进行调解；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（八）证券业协会章程规定的其他职责。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第一百六十七条　证券业协会设理事会。理事会成员依章程的规定由选举产生。</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第十二章　证券监督管理机构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第一百六十八条　国务院证券监督管理机构依法对证券市场实行监督管理，维护证券市场公开、公平、公正，防范系统性风险，维护投资者合法权益，促进证券市场健康发展。</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第一百六十九条　国务院证券监督管理机构在对证券市场实施监督管理中履行下列职责：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（一）依法制定有关证券市场监督管理的规章、规则，并依法进行审批、核准、注册，办理备案；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（二）依法对证券的发行、上市、交易、登记、存管、结算等行为，进行监督管理；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（三）依法对证券发行人、证券公司、证券服务机构、证券交易场所、证券登记结算机构的证券业务活动，进行监督管理；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（四）依法制定从事证券业务人员的行为准则，并监督实施；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（五）依法监督检查证券发行、上市、交易的信息披露；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（六）依法对证券业协会的自律管理活动进行指导和监督；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（七）依法监测并防范、处置证券市场风险；</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（八）依法开展投资者教育；</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（九）依法对证券违法行为进行查处；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（十）法律、行政法规规定的其他职责。</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第一百七十条　国务院证券监督管理机构依法履行职责，有权采取下列措施：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（一）对证券发行人、证券公司、证券服务机构、证券交易场所、证券登记结算机构进行现场检查；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（二）进入涉嫌违法行为发生场所调查取证；</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（三）询问当事人和与被调查事件有关的单位和个人，要求其对与被调查事件有关的事项作出说明；或者要求其按照指定的方式报送与被调查事件有关的文件和资料；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（四）查阅、复制与被调查事件有关的财产权登记、通讯记录等文件和资料；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（五）查阅、复制当事人和与被调查事件有关的单位和个人的证券交易记录、登记过户记录、财务会计资料及其他相关文件和资料；对可能被转移、隐匿或者毁损的文件和资料，可以予以封存、扣押；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（八）通知出境入境管理机关依法阻止涉嫌违法人员、涉嫌违法单位的主管人员和其他直接责任人员出境。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为防范证券市场风险，维护市场秩序，国务院证券监督管理机构可以采取责令改正、监管谈话、出具警示函等措施。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第一百七十一条　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国务院证券监督管理机构决定中止或者终止调查的，应当按照规定公开相关信息。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第一百七十二条　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第一百七十三条　国务院证券监督管理机构依法履行职责，被检查、调查的单位和个人应当配合，如实提供有关文件和资料，不得拒绝、阻碍和隐瞒。</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第一百七十四条　国务院证券监督管理机构制定的规章、规则和监督管理工作制度应当依法公开。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国务院证券监督管理机构依据调查结果，对证券违法行为作出的处罚决定，应当公开。</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第一百七十五条　国务院证券监督管理机构应当与国务院其他金融监督管理机构建立监督管理信息共享机制。</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国务院证券监督管理机构依法履行职责，进行监督检查或者调查时，有关部门应当予以配合。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第一百七十六条　对涉嫌证券违法、违规行为，任何单位和个人有权向国务院证券监督管理机构举报。</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对涉嫌重大违法、违规行为的实名举报线索经查证属实的，国务院证券监督管理机构按照规定给予举报人奖励。</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国务院证券监督管理机构应当对举报人的身份信息保密。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第一百七十七条　国务院证券监督管理机构可以和其他国家或者地区的证券监督管理机构建立监督管理合作机制，实施跨境监督管理。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第一百七十八条　国务院证券监督管理机构依法履行职责，发现证券违法行为涉嫌犯罪的，应当依法将案件移送司法机关处理；发现公职人员涉嫌职务违法或者职务犯罪的，应当依法移送监察机关处理。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第一百七十九条　国务院证券监督管理机构工作人员必须忠于职守、依法办事、公正廉洁，不得利用职务便利牟取不正当利益，不得泄露所知悉的有关单位和个人的商业秘密。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第十三章　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第一百八十条　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第一百八十一条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元以上一千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第一百八十二条　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第一百八十三条　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第一百八十四条　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第一百八十五条　发行人违反本法第十四条、第十五条的规定擅自改变公开发行证券所募集资金的用途的，责令改正，处以五十万元以上五百万元以下的罚款；对直接负责的主管人员和其他直接责任人员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第一百八十六条　违反本法第三十六条的规定，在限制转让期内转让证券，或者转让股票不符合法律、行政法规和国务院证券监督管理机构规定的，责令改正，给予警告，没收违法所得，并处以买卖证券等值以下的罚款。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第一百八十七条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第一百八十八条　证券服务机构及其从业人员，违反本法第四十二条的规定买卖证券的，责令依法处理非法持有的证券，没收违法所得，并处以买卖证券等值以下的罚款。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第一百八十九条　上市公司、股票在国务院批准的其他全国性证券交易场所交易的公司的董事、监事、高级管理人员、持有该公司百分之五以上股份的股东，违反本法第四十四条的规定，买卖该公司股票或者其他具有股权性质的证券的，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第一百九十条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第一百九十一条　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违反本法第五十四条的规定，利用未公开信息进行交易的，依照前款的规定处罚。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第一百九十二条　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第一百九十三条　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违反本法第五十六条第二款的规定，在证券交易活动中作出虚假陈述或者信息误导的，责令改正，处以二十万元以上二百万元以下的罚款；属于国家工作人员的，还应当依法给予处分。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传播媒介及其从事证券市场信息报道的工作人员违反本法第五十六条第三款的规定，从事与其工作职责发生利益冲突的证券买卖的，没收违法所得，并处以买卖证券等值以下的罚款。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第一百九十四条　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第一百九十五条　违反本法第五十八条的规定，出借自己的证券账户或者借用他人的证券账户从事证券交易的，责令改正，给予警告，可以处五十万元以下的罚款。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第一百九十六条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收购人及其控股股东、实际控制人利用上市公司收购，给被收购公司及其股东造成损失的，应当依法承担赔偿责任。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第一百九十七条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第一百九十八条　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第一百九十九条　违反本法第九十条的规定征集股东权利的，责令改正，给予警告，可以处五十万元以下的罚款。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第二百条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证券交易所违反本法第一百零五条的规定，允许非会员直接参与股票的集中交易的，责令改正，可以并处五十万元以下的罚款。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第二百零一条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第二百零二条　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对擅自设立的证券公司，由国务院证券监督管理机构予以取缔。</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第二百零三条　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第二百零四条　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第二百零五条　证券公司违反本法第一百二十三条第二款的规定，为其股东或者股东的关联人提供融资或者担保的，责令改正，给予警告，并处以五十万元以上五百万元以下的罚款。对直接负责的主管人员和其他直接责任人员给予警告，并处以十万元以上一百万元以下的罚款。股东有过错的，在按照要求改正前，国务院证券监督管理机构可以限制其股东权利；拒不改正的，可以责令其转让所持证券公司股权。</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第二百零六条　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第二百零七条　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第二百零八条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以上五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第二百零九条　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证券公司违反本法第一百三十四条第二款的规定，允许他人以证券公司的名义直接参与证券的集中交易的，责令改正，可以并处五十万元以下的罚款。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第二百一十条　证券公司的从业人员违反本法第一百三十六条的规定，私下接受客户委托买卖证券的，责令改正，给予警告，没收违法所得，并处以违法所得一倍以上十倍以下的罚款；没有违法所得的，处以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第二百一十一条　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第二百一十二条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第二百一十三条　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会计师事务所、律师事务所以及从事资产评估、资信评级、财务顾问、信息技术系统服务的机构违反本法第一百六十条第二款的规定，从事证券服务业务未报备案的，责令改正，可以处二十万元以下的罚款。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第二百一十四条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第二百一十五条　国务院证券监督管理机构依法将有关市场主体遵守本法的情况纳入证券市场诚信档案。</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第二百一十六条　国务院证券监督管理机构或者国务院授权的部门有下列情形之一的，对直接负责的主管人员和其他直接责任人员，依法给予处分：</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（一）对不符合本法规定的发行证券、设立证券公司等申请予以核准、注册、批准的；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（二）违反本法规定采取现场检查、调查取证、查询、冻结或者查封等措施的；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（三）违反本法规定对有关机构和人员采取监督管理措施的；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（四）违反本法规定对有关机构和人员实施行政处罚的；</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（五）其他不依法履行职责的行为。</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第二百一十七条　国务院证券监督管理机构或者国务院授权的部门的工作人员，不履行本法规定的职责，滥用职权、玩忽职守，利用职务便利牟取不正当利益，或者泄露所知悉的有关单位和个人的商业秘密的，依法追究法律责任。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第二百一十八条　拒绝、阻碍证券监督管理机构及其工作人员依法行使监督检查、调查职权，由证券监督管理机构责令改正，处以十万元以上一百万元以下的罚款，并由公安机关依法给予治安管理处罚。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第二百一十九条　违反本法规定，构成犯罪的，依法追究刑事责任。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第二百二十条　违反本法规定，应当承担民事赔偿责任和缴纳罚款、罚金、违法所得，违法行为人的财产不足以支付的，优先用于承担民事赔偿责任。</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第二百二十一条　违反法律、行政法规或者国务院证券监督管理机构的有关规定，情节严重的，国务院证券监督管理机构可以对有关责任人员采取证券市场禁入的措施。</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第二百二十二条　依照本法收缴的罚款和没收的违法所得，全部上缴国库。</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第二百二十三条　当事人对证券监督管理机构或者国务院授权的部门的处罚决定不服的，可以依法申请行政复议，或者依法直接向人民法院提起诉讼。</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w:t>
      </w:r>
      <w:r w:rsidRPr="00337E13">
        <w:rPr>
          <w:rFonts w:ascii="Helvetica" w:eastAsia="宋体" w:hAnsi="Helvetica" w:cs="Helvetica"/>
          <w:b/>
          <w:bCs/>
          <w:color w:val="000080"/>
          <w:kern w:val="0"/>
          <w:sz w:val="27"/>
        </w:rPr>
        <w:t>第十四章　附则</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第二百二十四条　境内企业直接或者间接到境外发行证券或者将其证券在境外上市交易，应当符合国务院的有关规定。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第二百二十五条　境内公司股票以外币认购和交易的，具体办法由国务院另行规定。</w:t>
      </w:r>
    </w:p>
    <w:p w:rsidR="00337E13" w:rsidRPr="00337E13" w:rsidRDefault="00337E13" w:rsidP="00337E13">
      <w:pPr>
        <w:widowControl/>
        <w:spacing w:after="225"/>
        <w:ind w:firstLineChars="0" w:firstLine="0"/>
        <w:jc w:val="left"/>
        <w:rPr>
          <w:rFonts w:ascii="Helvetica" w:eastAsia="宋体" w:hAnsi="Helvetica" w:cs="Helvetica"/>
          <w:color w:val="404040"/>
          <w:kern w:val="0"/>
          <w:sz w:val="27"/>
          <w:szCs w:val="27"/>
        </w:rPr>
      </w:pPr>
      <w:r w:rsidRPr="00337E13">
        <w:rPr>
          <w:rFonts w:ascii="Helvetica" w:eastAsia="宋体" w:hAnsi="Helvetica" w:cs="Helvetica"/>
          <w:color w:val="404040"/>
          <w:kern w:val="0"/>
          <w:sz w:val="27"/>
          <w:szCs w:val="27"/>
        </w:rPr>
        <w:t xml:space="preserve">　　第二百二十六条　本法自</w:t>
      </w:r>
      <w:r w:rsidRPr="00337E13">
        <w:rPr>
          <w:rFonts w:ascii="Helvetica" w:eastAsia="宋体" w:hAnsi="Helvetica" w:cs="Helvetica"/>
          <w:color w:val="404040"/>
          <w:kern w:val="0"/>
          <w:sz w:val="27"/>
          <w:szCs w:val="27"/>
        </w:rPr>
        <w:t>2020</w:t>
      </w:r>
      <w:r w:rsidRPr="00337E13">
        <w:rPr>
          <w:rFonts w:ascii="Helvetica" w:eastAsia="宋体" w:hAnsi="Helvetica" w:cs="Helvetica"/>
          <w:color w:val="404040"/>
          <w:kern w:val="0"/>
          <w:sz w:val="27"/>
          <w:szCs w:val="27"/>
        </w:rPr>
        <w:t>年</w:t>
      </w:r>
      <w:r w:rsidRPr="00337E13">
        <w:rPr>
          <w:rFonts w:ascii="Helvetica" w:eastAsia="宋体" w:hAnsi="Helvetica" w:cs="Helvetica"/>
          <w:color w:val="404040"/>
          <w:kern w:val="0"/>
          <w:sz w:val="27"/>
          <w:szCs w:val="27"/>
        </w:rPr>
        <w:t>3</w:t>
      </w:r>
      <w:r w:rsidRPr="00337E13">
        <w:rPr>
          <w:rFonts w:ascii="Helvetica" w:eastAsia="宋体" w:hAnsi="Helvetica" w:cs="Helvetica"/>
          <w:color w:val="404040"/>
          <w:kern w:val="0"/>
          <w:sz w:val="27"/>
          <w:szCs w:val="27"/>
        </w:rPr>
        <w:t>月</w:t>
      </w:r>
      <w:r w:rsidRPr="00337E13">
        <w:rPr>
          <w:rFonts w:ascii="Helvetica" w:eastAsia="宋体" w:hAnsi="Helvetica" w:cs="Helvetica"/>
          <w:color w:val="404040"/>
          <w:kern w:val="0"/>
          <w:sz w:val="27"/>
          <w:szCs w:val="27"/>
        </w:rPr>
        <w:t>1</w:t>
      </w:r>
      <w:r w:rsidRPr="00337E13">
        <w:rPr>
          <w:rFonts w:ascii="Helvetica" w:eastAsia="宋体" w:hAnsi="Helvetica" w:cs="Helvetica"/>
          <w:color w:val="404040"/>
          <w:kern w:val="0"/>
          <w:sz w:val="27"/>
          <w:szCs w:val="27"/>
        </w:rPr>
        <w:t>日起施行。</w:t>
      </w:r>
    </w:p>
    <w:p w:rsidR="00337E13" w:rsidRPr="00337E13" w:rsidRDefault="00337E13" w:rsidP="00337E13">
      <w:pPr>
        <w:widowControl/>
        <w:ind w:firstLineChars="0" w:firstLine="420"/>
        <w:jc w:val="left"/>
        <w:rPr>
          <w:rFonts w:ascii="Helvetica" w:eastAsia="宋体" w:hAnsi="Helvetica" w:cs="Helvetica"/>
          <w:color w:val="404040"/>
          <w:kern w:val="0"/>
          <w:sz w:val="27"/>
          <w:szCs w:val="27"/>
        </w:rPr>
      </w:pPr>
      <w:r w:rsidRPr="00337E13">
        <w:rPr>
          <w:rFonts w:ascii="Helvetica" w:eastAsia="宋体" w:hAnsi="Helvetica" w:cs="Helvetica"/>
          <w:color w:val="FFFFFF"/>
          <w:kern w:val="0"/>
          <w:sz w:val="21"/>
        </w:rPr>
        <w:t>图集</w:t>
      </w:r>
    </w:p>
    <w:p w:rsidR="00590732" w:rsidRDefault="00590732" w:rsidP="000B06EF">
      <w:pPr>
        <w:ind w:firstLine="600"/>
      </w:pPr>
    </w:p>
    <w:sectPr w:rsidR="00590732" w:rsidSect="00590732">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568B" w:rsidRDefault="00C6568B" w:rsidP="003D1B07">
      <w:pPr>
        <w:ind w:firstLine="600"/>
      </w:pPr>
      <w:r>
        <w:separator/>
      </w:r>
    </w:p>
  </w:endnote>
  <w:endnote w:type="continuationSeparator" w:id="0">
    <w:p w:rsidR="00C6568B" w:rsidRDefault="00C6568B" w:rsidP="003D1B07">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B07" w:rsidRDefault="003D1B07" w:rsidP="003D1B07">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94172"/>
      <w:docPartObj>
        <w:docPartGallery w:val="Page Numbers (Bottom of Page)"/>
        <w:docPartUnique/>
      </w:docPartObj>
    </w:sdtPr>
    <w:sdtEndPr/>
    <w:sdtContent>
      <w:sdt>
        <w:sdtPr>
          <w:id w:val="171357217"/>
          <w:docPartObj>
            <w:docPartGallery w:val="Page Numbers (Top of Page)"/>
            <w:docPartUnique/>
          </w:docPartObj>
        </w:sdtPr>
        <w:sdtEndPr/>
        <w:sdtContent>
          <w:p w:rsidR="003D1B07" w:rsidRDefault="003D1B07" w:rsidP="003D1B07">
            <w:pPr>
              <w:pStyle w:val="a7"/>
              <w:ind w:firstLine="360"/>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75</w:t>
            </w:r>
            <w:r>
              <w:rPr>
                <w:b/>
                <w:sz w:val="24"/>
                <w:szCs w:val="24"/>
              </w:rPr>
              <w:fldChar w:fldCharType="end"/>
            </w:r>
          </w:p>
        </w:sdtContent>
      </w:sdt>
    </w:sdtContent>
  </w:sdt>
  <w:p w:rsidR="003D1B07" w:rsidRDefault="003D1B07" w:rsidP="003D1B07">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B07" w:rsidRDefault="003D1B07" w:rsidP="003D1B07">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568B" w:rsidRDefault="00C6568B" w:rsidP="003D1B07">
      <w:pPr>
        <w:ind w:firstLine="600"/>
      </w:pPr>
      <w:r>
        <w:separator/>
      </w:r>
    </w:p>
  </w:footnote>
  <w:footnote w:type="continuationSeparator" w:id="0">
    <w:p w:rsidR="00C6568B" w:rsidRDefault="00C6568B" w:rsidP="003D1B07">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B07" w:rsidRDefault="003D1B07" w:rsidP="003D1B07">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B07" w:rsidRDefault="003D1B07" w:rsidP="003D1B07">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1B07" w:rsidRDefault="003D1B07" w:rsidP="003D1B07">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13"/>
    <w:rsid w:val="00053441"/>
    <w:rsid w:val="000B06EF"/>
    <w:rsid w:val="00121230"/>
    <w:rsid w:val="00337E13"/>
    <w:rsid w:val="003D1B07"/>
    <w:rsid w:val="004B5659"/>
    <w:rsid w:val="00590732"/>
    <w:rsid w:val="007C41BC"/>
    <w:rsid w:val="00901F76"/>
    <w:rsid w:val="00A7146A"/>
    <w:rsid w:val="00AA5939"/>
    <w:rsid w:val="00BF43CB"/>
    <w:rsid w:val="00C6568B"/>
    <w:rsid w:val="00D76046"/>
    <w:rsid w:val="00D80178"/>
    <w:rsid w:val="00EB7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DB2A32-537F-154C-A9A7-C7A07067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441"/>
    <w:pPr>
      <w:widowControl w:val="0"/>
      <w:ind w:firstLineChars="200" w:firstLine="200"/>
      <w:jc w:val="both"/>
    </w:pPr>
    <w:rPr>
      <w:rFonts w:ascii="Times New Roman" w:eastAsia="仿宋_GB2312" w:hAnsi="Times New Roman"/>
      <w:sz w:val="30"/>
    </w:rPr>
  </w:style>
  <w:style w:type="paragraph" w:styleId="1">
    <w:name w:val="heading 1"/>
    <w:basedOn w:val="a"/>
    <w:next w:val="a"/>
    <w:link w:val="10"/>
    <w:uiPriority w:val="9"/>
    <w:qFormat/>
    <w:rsid w:val="00D80178"/>
    <w:pPr>
      <w:keepNext/>
      <w:keepLines/>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80178"/>
    <w:rPr>
      <w:rFonts w:ascii="Times New Roman" w:eastAsia="仿宋_GB2312" w:hAnsi="Times New Roman"/>
      <w:b/>
      <w:bCs/>
      <w:kern w:val="44"/>
      <w:sz w:val="32"/>
      <w:szCs w:val="44"/>
    </w:rPr>
  </w:style>
  <w:style w:type="paragraph" w:styleId="a3">
    <w:name w:val="Normal (Web)"/>
    <w:basedOn w:val="a"/>
    <w:uiPriority w:val="99"/>
    <w:semiHidden/>
    <w:unhideWhenUsed/>
    <w:rsid w:val="00337E13"/>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337E13"/>
    <w:rPr>
      <w:b/>
      <w:bCs/>
    </w:rPr>
  </w:style>
  <w:style w:type="character" w:customStyle="1" w:styleId="tj">
    <w:name w:val="tj"/>
    <w:basedOn w:val="a0"/>
    <w:rsid w:val="00337E13"/>
  </w:style>
  <w:style w:type="paragraph" w:styleId="a5">
    <w:name w:val="header"/>
    <w:basedOn w:val="a"/>
    <w:link w:val="a6"/>
    <w:uiPriority w:val="99"/>
    <w:semiHidden/>
    <w:unhideWhenUsed/>
    <w:rsid w:val="003D1B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sid w:val="003D1B07"/>
    <w:rPr>
      <w:rFonts w:ascii="Times New Roman" w:eastAsia="仿宋_GB2312" w:hAnsi="Times New Roman"/>
      <w:sz w:val="18"/>
      <w:szCs w:val="18"/>
    </w:rPr>
  </w:style>
  <w:style w:type="paragraph" w:styleId="a7">
    <w:name w:val="footer"/>
    <w:basedOn w:val="a"/>
    <w:link w:val="a8"/>
    <w:uiPriority w:val="99"/>
    <w:unhideWhenUsed/>
    <w:rsid w:val="003D1B07"/>
    <w:pPr>
      <w:tabs>
        <w:tab w:val="center" w:pos="4153"/>
        <w:tab w:val="right" w:pos="8306"/>
      </w:tabs>
      <w:snapToGrid w:val="0"/>
      <w:jc w:val="left"/>
    </w:pPr>
    <w:rPr>
      <w:sz w:val="18"/>
      <w:szCs w:val="18"/>
    </w:rPr>
  </w:style>
  <w:style w:type="character" w:customStyle="1" w:styleId="a8">
    <w:name w:val="页脚 字符"/>
    <w:basedOn w:val="a0"/>
    <w:link w:val="a7"/>
    <w:uiPriority w:val="99"/>
    <w:rsid w:val="003D1B07"/>
    <w:rPr>
      <w:rFonts w:ascii="Times New Roman" w:eastAsia="仿宋_GB2312"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8608">
      <w:bodyDiv w:val="1"/>
      <w:marLeft w:val="0"/>
      <w:marRight w:val="0"/>
      <w:marTop w:val="0"/>
      <w:marBottom w:val="0"/>
      <w:divBdr>
        <w:top w:val="none" w:sz="0" w:space="0" w:color="auto"/>
        <w:left w:val="none" w:sz="0" w:space="0" w:color="auto"/>
        <w:bottom w:val="none" w:sz="0" w:space="0" w:color="auto"/>
        <w:right w:val="none" w:sz="0" w:space="0" w:color="auto"/>
      </w:divBdr>
      <w:divsChild>
        <w:div w:id="1375883104">
          <w:marLeft w:val="0"/>
          <w:marRight w:val="0"/>
          <w:marTop w:val="0"/>
          <w:marBottom w:val="330"/>
          <w:divBdr>
            <w:top w:val="none" w:sz="0" w:space="0" w:color="auto"/>
            <w:left w:val="none" w:sz="0" w:space="0" w:color="auto"/>
            <w:bottom w:val="none" w:sz="0" w:space="0" w:color="auto"/>
            <w:right w:val="none" w:sz="0" w:space="0" w:color="auto"/>
          </w:divBdr>
          <w:divsChild>
            <w:div w:id="7625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5303</Words>
  <Characters>30228</Characters>
  <Application>Microsoft Office Word</Application>
  <DocSecurity>0</DocSecurity>
  <Lines>251</Lines>
  <Paragraphs>70</Paragraphs>
  <ScaleCrop>false</ScaleCrop>
  <Company/>
  <LinksUpToDate>false</LinksUpToDate>
  <CharactersWithSpaces>35461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yang xp</cp:lastModifiedBy>
  <cp:revision>2</cp:revision>
  <dcterms:created xsi:type="dcterms:W3CDTF">2020-11-18T12:13:00Z</dcterms:created>
  <dcterms:modified xsi:type="dcterms:W3CDTF">2020-11-18T12:13:00Z</dcterms:modified>
</cp:coreProperties>
</file>